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POSTANOWIENIA DODATKOWE I ODMIENNE OD OGÓLNYCH WARUNKÓW UBEZPIECZENIA EDU PLUS zatwierdzonych Uchwałą nr 01/18/04/2023 Zarządu InterRisk TU S.A. Vienna Insurance Group z dnia 18 kwietnia 2023r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40" w:lineRule="auto"/>
        <w:ind w:left="0" w:right="0" w:hanging="2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Działając na podstawie art. 812 § 8 k.c. InterRisk Towarzystwo Ubezpieczeń Spółka Akcyjna Vienna Insurance Group wskazuje różnice pomiędzy proponowaną treścią umowy a OWU EDU PLUS.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§1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Dla potrzeb niniejszej umowy ubezpieczenia wprowadza się następujące postanowienia dodatkowe lub odmienne od OWU EDU Plus: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§2 pkt 38) otrzymuje brzmienie: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426"/>
        </w:tabs>
        <w:ind w:left="426" w:hanging="426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„38)  </w:t>
        <w:tab/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koszty leczenia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– poniesione na terytorium Rzeczypospolitej Polskiej, niezbędne z medycznego punktu widzenia i udokumentowane koszty z tytułu:</w:t>
      </w:r>
    </w:p>
    <w:p w:rsidR="00000000" w:rsidDel="00000000" w:rsidP="00000000" w:rsidRDefault="00000000" w:rsidRPr="00000000" w14:paraId="0000000B">
      <w:pPr>
        <w:ind w:left="426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a) wizyt lekarskich,</w:t>
      </w:r>
    </w:p>
    <w:p w:rsidR="00000000" w:rsidDel="00000000" w:rsidP="00000000" w:rsidRDefault="00000000" w:rsidRPr="00000000" w14:paraId="0000000C">
      <w:pPr>
        <w:ind w:left="426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b) zabiegów ambulatoryjnych, </w:t>
      </w:r>
    </w:p>
    <w:p w:rsidR="00000000" w:rsidDel="00000000" w:rsidP="00000000" w:rsidRDefault="00000000" w:rsidRPr="00000000" w14:paraId="0000000D">
      <w:pPr>
        <w:ind w:left="426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c) badań zleconych przez lekarza prowadzącego leczenie,</w:t>
      </w:r>
    </w:p>
    <w:p w:rsidR="00000000" w:rsidDel="00000000" w:rsidP="00000000" w:rsidRDefault="00000000" w:rsidRPr="00000000" w14:paraId="0000000E">
      <w:pPr>
        <w:ind w:left="426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d) pobytu w szpitalu,</w:t>
      </w:r>
    </w:p>
    <w:p w:rsidR="00000000" w:rsidDel="00000000" w:rsidP="00000000" w:rsidRDefault="00000000" w:rsidRPr="00000000" w14:paraId="0000000F">
      <w:pPr>
        <w:ind w:left="426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e) operacji przeprowadzonej w trakcie co najmniej trzydniowego pobytu w szpitalu, </w:t>
      </w:r>
    </w:p>
    <w:p w:rsidR="00000000" w:rsidDel="00000000" w:rsidP="00000000" w:rsidRDefault="00000000" w:rsidRPr="00000000" w14:paraId="00000010">
      <w:pPr>
        <w:ind w:left="426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f) operacji plastycznej zaleconej przez lekarza jako niezbędna część procesu leczenia następstw nieszczęśliwego wypadku,</w:t>
      </w:r>
    </w:p>
    <w:p w:rsidR="00000000" w:rsidDel="00000000" w:rsidP="00000000" w:rsidRDefault="00000000" w:rsidRPr="00000000" w14:paraId="00000011">
      <w:pPr>
        <w:ind w:left="426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g ) zakupu środków opatrunkowych przepisanych przez lekarza,</w:t>
      </w:r>
    </w:p>
    <w:p w:rsidR="00000000" w:rsidDel="00000000" w:rsidP="00000000" w:rsidRDefault="00000000" w:rsidRPr="00000000" w14:paraId="00000012">
      <w:pPr>
        <w:ind w:left="426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h) rehabilitacji zaleconej przez lekarza prowadzącego leczenie,</w:t>
      </w:r>
    </w:p>
    <w:p w:rsidR="00000000" w:rsidDel="00000000" w:rsidP="00000000" w:rsidRDefault="00000000" w:rsidRPr="00000000" w14:paraId="00000013">
      <w:pPr>
        <w:ind w:left="426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i) kosztów leków przepisanych przez lekarza, podczas dwudniowego pobytu w szpitalu,</w:t>
      </w:r>
    </w:p>
    <w:p w:rsidR="00000000" w:rsidDel="00000000" w:rsidP="00000000" w:rsidRDefault="00000000" w:rsidRPr="00000000" w14:paraId="00000014">
      <w:pPr>
        <w:ind w:left="426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j) odbudowy stomatologicznej uszkodzonego lub utraconego stałego zęba;”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§2 pkt 44) otrzymuje brzmienie: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567"/>
        </w:tabs>
        <w:ind w:left="426" w:hanging="426"/>
        <w:jc w:val="both"/>
        <w:rPr>
          <w:rFonts w:ascii="Arial" w:cs="Arial" w:eastAsia="Arial" w:hAnsi="Arial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„44) 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nieszczęśliwy wypadek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– nagłe zdarzenie mające miejsce w trakcie trwania ochrony ubezpieczeniowej wywołane przyczyną zewnętrzną, na skutek której Ubezpieczony niezależnie od swej woli doznał uszkodzenia ciała, rozstroju zdrowia lub zmarł. W rozumieniu niniejszych OWU za nieszczęśliwy wypadek uważa się również zawał serca lub udar mózgu wyłącznie w przypadku Ubezpieczonego będącego dzieckiem, o którym mowa w pkt 25) lub rodzicem dziecka, w przypadku, gdy rodzic dziecka nie ukończył 60 roku życia w chwili przystąpienia dziecka do ubezpieczenia;”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§2 dodaje się pkt 128), który otrzymuje brzmienie: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„128)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pneumokokowe zapalenie płuc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– stan zapalny płuc wywołany przez Streptococcus pneumoniae, pneumococcus, zdiagnozowany przez lekarza w okresie ubezpieczenia, zgodnie z rozpoznaniem zakwalifikowanym w Międzynarodowej Statystycznej Klasyfikacji Chorób i problemów Zdrowotnych ICD-10 jako kod: J.13,”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§2 dodaje się pkt 129), który otrzymuje brzmienie: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„129)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meningokokowe zapalenie opon mózgowych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– choroba zdiagnozowana przez lekarza w okresie ubezpieczenia, wywołana przez Neisseria meningitidis i zakwalifikowana w Międzynarodowej Statystycznej Klasyfikacji Chorób i Problemów Zdrowotnych ICD-10 jako kod: G.05;”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§2 dodaje się pkt 130), który otrzymuje brzmienie: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„130)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depresja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– choroba zdiagnozowana przez lekarza w okresie ubezpieczenia, zakwalifikowana w Międzynarodowej Statystycznej Klasyfikacji Chorób i Problemów Zdrowotnych ICD-10 jako kod: F.32.0-32.3 lub 32.8-32.9;”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ind w:left="0" w:hanging="284"/>
        <w:jc w:val="both"/>
        <w:rPr>
          <w:rFonts w:ascii="Arial" w:cs="Arial" w:eastAsia="Arial" w:hAnsi="Arial"/>
          <w:color w:val="000000"/>
          <w:sz w:val="16"/>
          <w:szCs w:val="16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§4 ust 1. pkt 1) otrzymuje brzmienie: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284" w:firstLine="0"/>
        <w:jc w:val="both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426" w:hanging="426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„1)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Opcji Podstawowej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lub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 Opcji Progresja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obejmującej następujące ryzyka: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śmierć Ubezpieczonego w wyniku nieszczęśliwego wypadku,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śmierć Ubezpieczonego w wyniku nieszczęśliwego wypadku na terenie placówki oświatowej,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uszczerbek na zdrowiu w wyniku nieszczęśliwego wypadku,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koszty nabycia wyrobów medycznych wydawanych na zlecenie oraz koszty zakupu lub naprawy okularów korekcyjnych lub aparatu słuchowego uszkodzonych w wyniku nieszczęśliwego wypadku na terenie placówki oświatowej,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koszty przekwalifikowania zawodowego osób niepełnosprawnych,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pogryzienie, pokąsanie, ukąszenie,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rozpoznanie u Ubezpieczonego sepsy,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śmierć opiekuna prawnego lub rodzica Ubezpieczonego w następstwie nieszczęśliwego wypadku,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uszczerbek na zdrowiu w wyniku padaczki,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wstrząśnienie mózgu w następstwie nieszczęśliwego wypadku,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zatrucie pokarmowe lub nagle zatrucie gazami, bądź porażenie prądem lub piorunem,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rozpoznanie u Ubezpieczonego chorób odzwierzęcych (bąblowicy, toksoplazmozy, wścieklizny);”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ind w:left="0" w:hanging="284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W §4 ust 1. dodaje się pkt 4), który otrzymuje brzmienie: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284" w:firstLine="0"/>
        <w:jc w:val="both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426" w:hanging="426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„4)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Opcji Podstawowej Plus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obejmującej następujące ryzyka: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śmierć Ubezpieczonego w wyniku nieszczęśliwego wypadku,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śmierć Ubezpieczonego w wyniku nieszczęśliwego wypadku na terenie placówki oświatowej,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uszczerbek na zdrowiu w wyniku nieszczęśliwego wypadku,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koszty nabycia wyrobów medycznych wydawanych na zlecenie oraz koszty zakupu lub naprawy okularów korekcyjnych lub aparatu słuchowego uszkodzonych w wyniku nieszczęśliwego wypadku na terenie placówki oświatowej,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koszty przekwalifikowania zawodowego osób niepełnosprawnych,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pogryzienie, pokąsanie, ukąszenie,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rozpoznanie u Ubezpieczonego sepsy,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śmierć opiekuna prawnego lub rodzica Ubezpieczonego w następstwie nieszczęśliwego wypadku,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uszczerbek na zdrowiu w wyniku padaczki,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wstrząśnienie mózgu w następstwie nieszczęśliwego wypadku,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zatrucie pokarmowe lub nagle zatrucie gazami, bądź porażenie prądem lub piorunem,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rozpoznanie u Ubezpieczonego chorób odzwierzęcych (bąblowicy, toksoplazmozy, wścieklizny),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rozpoznanie u Ubezpieczonego pneumokokowego zapalenia płuc, meningokokowego zapalenia opon mózgowych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zwrot kosztów porady psychologa w związku z nieszczęśliwym wypadkiem lub śmiercią rodzica lub opiekuna prawnego Ubezpieczonego w następstwie nieszczęśliwego wypadku,zwrot kosztów porady psychiatry w związku z leczeniem depresji u Ubezpieczonego,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zwrot kosztów korepetycji w związku z nieszczęśliwym wypadkiem,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zwrot kosztów poszukiwania dziecka w przypadku zaginięcia.”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§5 ust 1. pkt 8) otrzymuje brzmienie: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„8) </w:t>
        <w:tab/>
        <w:t xml:space="preserve">chorobą zawodową, chorobą psychiczną za wyjątkiem ubezpieczenia z tytułu zwrotu kosztów porady psychiatry w związku z leczeniem depresji u Ubezpieczonego, o którym mowa w §7 pkt 14),”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§5 ust 1. pkt 10) otrzymuje brzmienie: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426"/>
        </w:tabs>
        <w:ind w:left="426" w:hanging="426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„10) </w:t>
        <w:tab/>
        <w:t xml:space="preserve">zawałem serca lub udarem mózgu, w przypadku Ubezpieczonego nie spełniającego definicji dziecka, o której mowa w §2 pkt 25) lub rodzicem dziecka, który w dniu przystąpienia dziecka do ubezpieczenia ukończył 60 rok życia;”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§5 w ust 1. dodaje się pkt 21), który otrzymuje brzmienie: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426"/>
        </w:tabs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„21) </w:t>
        <w:tab/>
        <w:t xml:space="preserve">rozpoznaniem sepsy, w przypadku Ubezpieczonego nie spełniającego definicji dziecka, o której mowa w §2 pkt 25).”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§7 otrzymuje brzmienie: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§7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„Opcja Podstawowa Plus obejmuje następujące świadczenia;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wyniku nieszczęśliwego wypadku: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100% uszczerbku na zdrowiu świadczenie w wysokości 130% sumy ubezpieczenia  określonej w umowie ubezpieczenia. W przypadku 100% uszczerbku na zdrowiu w wyniku nieszczęśliwego wypadku na terenie placówki oświatowej – przysługuje dodatkowe świadczenie w wysokości 20% sumy ubezpieczenia określonej w umowie ubezpieczenia, pod warunkiem, że zajście nieszczęśliwego wypadku zostało udokumentowane zaświadczeniem dyrektora placówki oświatowej;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uszczerbku na zdrowiu poniżej 100% - świadczenie wyłącznie za zdarzenia określone w Tabeli Norm Uszczerbku na Zdrowiu EDU PLUS, stanowiącej Załącznik Nr1 do niniejszych OWU, uzależnione od wysokości uszczerbku na zdrowiu i wynoszące: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uszczerbku na zdrowiu poniżej 70% zgodnie z Tabelą Norm Uszczerbku na Zdrowiu Edu Plus - 1% sumy ubezpieczenia określonej w umowie ubezpieczenia dla Opcji Podstawowej Plus za każdy procent uszczerbku na zdrowiu 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uszczerbku na zdrowiu w przedziale 70% - 99%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zgodnie z Tabelą Norm Uszczerbku na Zdrowiu Edu Plus - 2% sumy ubezpieczenia określonej w umowie ubezpieczenia dla Opcji Podstawowej Plus za każdy procent uszczerbku na zdrowiu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koszty nabycia wyrobów medycznych wydawanych na zlecenie oraz koszty zakupu lub naprawy okularów korekcyjnych lub aparatu słuchowego uszkodzonych w wyniku nieszczęśliwego wypadku na terenie placówki oświatowej – zwrot udokumentowanych kosztów: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nabycia wyrobów medycznych wydawanych na zlecenie - do wysokości 30% sumy ubezpieczenia określonej w umowie ubezpieczenia, pod warunkiem iż są niezbędne z medycznego punktu widzenia i udokumentowane kopią zlecenia lekarskiego na zaopatrzenie w wyroby medyczne wydawane na zlecenie oraz  zostały poniesione na terytorium Rzeczpospolitej Polskiej w okresie nie dłuższym niż dwa lata od daty nieszczęśliwego wypadku,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zakupu lub naprawy okularów korekcyjnych lub aparatu słuchowego uszkodzonych w wyniku nieszczęśliwego wypadku na terenie placówki oświatowej – do wysokości 200 zł, pod warunkiem, ze nieszczęśliwy wypadek, w wyniku którego doszło do uszkodzenia okularów korekcyjnych lub aparatu słuchowego miał miejsce na terenie placówki oświatowej oraz spowodował uszkodzenie ciała wymagające interwencji lekarskiej w placówce medycznej;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koszty przekwalifikowania zawodowego osób niepełnosprawnych – zwrot udokumentowanych kosztów do wysokości 30% sumy ubezpieczenia określonej w umowie ubezpieczenia, pod warunkiem iż: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Ubezpieczonemu na podstawie decyzji Zakładu Ubezpieczeń Społecznych przyznano rentę szkoleniową jako osobie trwale niezdolnej  do pracy w dotychczasowym zawodzie lub orzeczenie powiatowego (wojewódzkiego) zespołu ds. orzekania o niepełnosprawności, w którym orzeczono o celowości przekwalifikowania zawodowego osoby niepełnosprawnej oraz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zostały poniesione na terytorium Rzeczpospolitej Polskiej w okresie nie dłuższym niż dwa lata od daty nieszczęśliwego wypadku.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42.0000000000000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uszczerbku na zdrowiu w wyniku ataku padaczki – jednorazowe świadczenie w wysokości 2% sumy ubezpieczenia określonej w umowie ubezpieczenia, pod warunkiem, iż padaczka została rozpoznana po raz pierwszy w okresie trwania ochrony ubezpieczeniowej;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śmierci ubezpieczonego w wyniku nieszczęśliwego wypadku – świadczenie w wysokości 150% sumy ubezpieczenia określonej w umowie ubezpieczenia, pod warunkiem, iż: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nieszczęśliwy wypadek wydarzył się podczas trwania ochrony ubezpieczeniowej,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śmierć nastąpiła w ciągu dwóch lat od daty nieszczęśliwego wypadku;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śmierci ubezpieczonego w wyniku nieszczęśliwego wypadku, który wydarzył się  na terenie placówki oświatowej – świadczenie dodatkowe w wysokości 100% sumy ubezpieczenia określonej w umowie ubezpieczenia, pod warunkiem, iż: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nieszczęśliwy wypadek miał miejsce na terenie placówki oświatowej i wydarzył się podczas trwania ochrony ubezpieczeniowej oraz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śmierć nastąpiła w ciągu 6 miesięcy od daty nieszczęśliwego wypadku oraz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zajście nieszczęśliwego wypadku zostało udokumentowane zaświadczeniem dyrektora placówki oświatowej;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rozpoznania u Ubezpieczonego sepsy – jednorazowe świadczenie w wysokości 10% sumy ubezpieczenia określonej w umowie ubezpieczenia, pod warunkiem, iż sepsa została zdiagnozowane po raz pierwszy w okresie trwania ochrony ubezpieczeniowej;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śmierci opiekuna prawnego lub rodzica Ubezpieczonego w następstwie nieszczęśliwego wypadku – jednorazowe świadczenie w wysokości 15% sumy ubezpieczenia określonej w umowie ubezpieczenia, pod warunkiem, iż: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a)  nieszczęśliwy wypadek wydarzył się podczas trwania ochrony ubezpieczeniowej oraz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b)  śmierć nastąpiła w ciągu 12 miesięcy od daty nieszczęśliwego wypadku.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Odpowiedzialność InterRisk ograniczona jest do dwóch zdarzeń w okresie ubezpieczenia;”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pogryzienia, pokąsania, ukąszenia – jednorazowe świadczenie w wysokości: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7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1% sumy ubezpieczenia określonej w umowie ubezpieczenia w przypadku pogryzienia,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7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2% sumy ubezpieczenia określonej w umowie ubezpieczenia w przypadku pokąsania, ukąszenia, pod warunkiem co najmniej dwudniowego pobytu w szpitalu w przypadku pokąsania, ukąszenia;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wstrząśnienia mózgu w następstwie nieszczęśliwego wypadku – jeżeli w wyniku nieszczęśliwego wypadku Ubezpieczony doznał wstrząśnienia mózgu, w wyniku którego konieczny był co najmniej trzydniowy pobyt w szpitalu przysługuje jednorazowe świadczenie w wysokości stanowiącej 2% sumy ubezpieczenia określonej w umowie ubezpieczenia;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nagłego zatrucia gazami, bądź w przypadku porażenia prądem lub piorunem – świadczenie w wysokości 1 500 zł, pod warunkiem co najmniej trzydniowego pobytu Ubezpieczonego w szpitalu w wyniku nagłego zatrucia gazami, bądź w przypadku porażenia prądem lub piorunem;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zatrucia pokarmowego – jednorazowe świadczenie w wysokości 2% sumy ubezpieczenia określonej w umowie ubezpieczenia, pod warunkiem co najmniej trzydniowego pobytu Ubezpieczonego w szpitalu w wyniku zatrucia pokarmowego;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rozpoznania u Ubezpieczonego chorób odzwierzęcych (bąblowicy, toksoplazmozy, wścieklizny) – jednorazowe świadczenie w wysokości 5% sumy ubezpieczenia określonej w umowie ubezpieczenia, pod warunkiem, iż bąblowica, toksoplazmoza lub wścieklizna zostały rozpoznane w okresie trwania ochrony ubezpieczeniowej;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rozpoznania u Ubezpieczonego pneumokokowego zapalenia płuc, meningokokowego zapalenia opon mózgowych – jednorazowe świadczenie w wysokości 2 000 zł, pod warunkiem, iż pneumokokowe zapalenie płuc lub meningokokowe zapalenie opon mózgowych zostały zdiagnozowane po raz pierwszy w okresie trwania ochrony ubezpieczeniowej;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zwrot kosztów porady psychologa w związku z nieszczęśliwym wypadkiem, poważną chorobą lub śmiercią rodzica lub opiekuna prawnego Ubezpieczonego w następstwie nieszczęśliwego wypadku – zwrot udokumentowanych kosztów do wysokości 500 zł, pod warunkiem, iż: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993" w:right="0" w:hanging="27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a) </w:t>
        <w:tab/>
        <w:t xml:space="preserve">koszty porady psychologa powstały w następstwie nieszczęśliwego wypadku, który wydarzył się podczas trwania ochrony ubezpieczeniowej,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993" w:right="0" w:hanging="27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b)  </w:t>
        <w:tab/>
        <w:t xml:space="preserve">koszty porady psychologa zostały poniesione w okresie ubezpieczenia na terytorium Rzeczypospolitej Polskiej,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993" w:right="0" w:hanging="27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c) </w:t>
        <w:tab/>
        <w:t xml:space="preserve">Ubezpieczony wymagał porady psychologa i uzyskał pisemne skierowanie do poradni psychologicznej;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7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zwrot kosztów porady psychiatry w związku z rozpoznaniem i leczeniem depresji u Ubezpieczonego – zwrot udokumentowanych kosztów do wysokości 500 zł, pod warunkiem, iż: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a) koszty porady psychiatry zostały poniesione w okresie ubezpieczenia na terytorium Rzeczypospolitej Polskiej,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b) depresja została rozpoznana u Ubezpieczonego w okresie ubezpieczenia,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zwrot kosztów korepetycji w związku z nieszczęśliwym wypadkiem lub poważną chorobą - zwrot udokumentowanych kosztów do wysokości 1 000 zł w ciągu okresu ubezpieczenia, ale za maksymalnie 10 godzin lekcyjnych korepetycji, pod warunkiem, iż koszty korepetycji: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a) powstały w następstwie nieszczęśliwego wypadku, który wydarzył się podczas trwania ochrony ubezpieczeniowej,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b) zostały poniesione w okresie ubezpieczenia na terytorium Rzeczpospolitej Polskiej,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c) Ubezpieczony nie mógł uczęszczać na zajęcia lekcyjne nieprzerwanie przez okres co najmniej 14 dni, udokumentowane zaświadczeniem lekarskim, przy czym do ustalenia powyższego okresu uwzględnia się wyłącznie dni zajęć lekcyjnych wynikające z obowiązującego w danej placówce oświatowej planu lekcji;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zwrot kosztów poszukiwania dziecka w wieku do 18 lat w przypadku zaginięcia – zwrot udokumentowanych kosztów wynajęcia detektywa, umieszczenia informacji w mediach, wydruku ulotek do wysokości 20% sumy ubezpieczenia określonej w umowie ubezpieczenia (nie więcej niż 10 000 zł), pod warunkiem iż: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zaginięcie dziecka nastąpiło w okresie ubezpieczenia oraz zostało zgłoszone Policji,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koszty wynajęcia detektywa, wydruku ulotek lub umieszczenia informacji w mediach zostały poniesione na terytorium Rzeczypospolitej Polskiej w okresie ubezpieczenia.”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§ 12 ust. 1 pkt. 3) otrzymuje brzmienie: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„3)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Opcja Dodatkowa D3 - pobyt w szpitalu w wyniku nieszczęśliwego wypadku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– świadczenie w wysokości:</w:t>
      </w:r>
    </w:p>
    <w:p w:rsidR="00000000" w:rsidDel="00000000" w:rsidP="00000000" w:rsidRDefault="00000000" w:rsidRPr="00000000" w14:paraId="0000009C">
      <w:pPr>
        <w:numPr>
          <w:ilvl w:val="0"/>
          <w:numId w:val="7"/>
        </w:numPr>
        <w:ind w:left="426" w:hanging="284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1% sumy ubezpieczenia określonej w umowie ubezpieczenia dla Opcji Dodatkowej D3, za każdy dzień pobytu Ubezpieczonego w szpitalu, począwszy od pierwszego do dziesiątego dnia pobytu w szpitalu, będący następstwem nieszczęśliwego wypadku, który miał miejsce w okresie trwania ochrony ubezpieczeniowej, pod warunkiem pobytu w szpitalu trwającego minimum 2 dni,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1,5% sumy ubezpieczenia określonej w umowie ubezpieczenia dla Opcji Dodatkowej D3, za każdy następny dzień pobytu Ubezpieczonego w szpitalu, począwszy od jedenastego dnia pobytu w szpitalu, będący następstwem nieszczęśliwego wypadku, który miał miejsce w okresie trwania ochrony ubezpieczeniowej.</w:t>
      </w:r>
    </w:p>
    <w:p w:rsidR="00000000" w:rsidDel="00000000" w:rsidP="00000000" w:rsidRDefault="00000000" w:rsidRPr="00000000" w14:paraId="0000009E">
      <w:pPr>
        <w:shd w:fill="ffffff" w:val="clear"/>
        <w:ind w:left="142" w:firstLine="0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W przypadku kolejnych, następujących po sobie pobytów w szpitalu w związku z tym samym nieszczęśliwym wypadkiem świadczenie szpitalne przysługuje od pierwszego dnia pobytu w szpitalu, pod warunkiem, że pobyt w szpitalu trwał minimum 2 dni. Świadczenie z tytułu pobytu w szpitalu w wyniku nieszczęśliwego wypadku przysługuje maksymalnie za 95 dni pobytu w szpitalu. Gdy wypis ze szpitala nastąpi po zakończeniu okresu ubezpieczenia pobyt w szpitalu jest objęty odpowiedzialnością Ubezpieczyciela, pod warunkiem że przyjęcie do szpitala nastąpiło w okresie ubezpieczenia;”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§ 12 ust. 1 pkt. 4) otrzymuje brzmienie:</w:t>
      </w:r>
    </w:p>
    <w:p w:rsidR="00000000" w:rsidDel="00000000" w:rsidP="00000000" w:rsidRDefault="00000000" w:rsidRPr="00000000" w14:paraId="000000A1">
      <w:pPr>
        <w:spacing w:line="276" w:lineRule="auto"/>
        <w:ind w:left="142" w:firstLine="0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„4)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Opcja  Dodatkowa  D4 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–   pobyt  w  szpitalu  w  wyniku  choroby  –  świadczenie  w  wysokości  1%  sumy  ubezpieczenia  określonej  w  umowie  ubezpieczenia  dla    Opcji    Dodatkowej   D5,  za   każdy dzień pobytu w szpitalu, począwszy od drugiego dnia pobytu w szpitalu, w związku z chorobą,  która  została rozpoznana w  trakcie  trwania ochrony  ubezpieczeniowej, pod warunkiem pobytu w szpitalu trwającego minimum 3 dni. W przypadku kolejnych, następujących po sobie pobytów w szpitalu w związku z tą samą chorobą  świadczenie  szpitalne   przysługuje   od  pierwszego  dnia  pobytu  w  szpitalu pod warunkiem, że pierwszy pobyt w szpitalu trwał minimum 3 dni. Świadczenie z tytułu pobytu w szpitalu w wyniku choroby przysługuje maksymalnie za 100  dni pobytu w szpitalu. Gdy wypis ze szpitala nastąpi po zakończeniu okresu ubezpieczenia pobyt w szpitalu jest objęty odpowiedzialnością Ubezpieczyciela, pod warunkiem że przyjęcie do szpitala nastąpiło w okresie ubezpieczenia.”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2s8eyo1" w:id="9"/>
      <w:bookmarkEnd w:id="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§12 ust 1. pkt 5) otrzymuje brzmienie: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„5)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 Opcja Dodatkowa D5 – Poważne Choroby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– świadczenie w wysokości: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100% sumy ubezpieczenia określonej w umowie ubezpieczenia dla Opcji Dodatkowej D5, w przypadku rozpoznania u Ubezpieczonego po raz pierwszy w trakcie trwania ochrony ubezpieczeniowej, rodzaju Poważnej Choroby, o której mowa w §2 pkt 69) lit. a)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500 zł - w przypadku ukąszenia Ubezpieczonego przez kleszcza i rozpoznania u Ubezpieczonego po raz pierwszy w trakcie trwania ochrony ubezpieczeniowej boreliozy, </w:t>
      </w:r>
    </w:p>
    <w:p w:rsidR="00000000" w:rsidDel="00000000" w:rsidP="00000000" w:rsidRDefault="00000000" w:rsidRPr="00000000" w14:paraId="000000A8">
      <w:pPr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§12 ust 1. pkt 8) otrzymuje brzmienie: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284" w:hanging="284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„10)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Opcja Dodatkowa D8 – koszty leczenia w wyniku nieszczęśliwego wypadku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– zwrot udokumentowanych kosztów do wysokości 100% sumy ubezpieczenia określonej w umowie ubezpieczenia dla Opcji Dodatkowej D8. Zwrot kosztów leczenia przysługuje: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pod warunkiem, iż koszty te powstały w następstwie nieszczęśliwego wypadku, który wydarzył się w podczas trwania ochrony ubezpieczeniowej oraz zostały poniesione na terytorium Rzeczpospolitej Polskiej w okresie nie dłuższym niż 12 miesięcy od daty nieszczęśliwego wypadku;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 wysokości podlimitów w ramach sumy ubezpieczenia dla Opcji Dodatkowej D8, mających zastosowanie w przypadku: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17.999999999999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zwrotu kosztów rehabilitacji – podlimit w wysokości 2 000 zł;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17.999999999999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zwrotu kosztów operacji plastycznej – podlimit w wysokości sumy ubezpieczenia określonej w umowie ubezpieczenia dla Opcji Dodatkowej D8;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17.999999999999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zwrot kosztów odbudowy stomatologicznej uszkodzonego lub utraconego zęba stałego – podlimit w wysokości 1 000 zł (500 zł za ząb);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17.999999999999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zwrot kosztów leków – podlimit w wysokości 500 zł,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284" w:firstLine="424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jednak nie więcej niż 100% sumy ubezpieczenia.</w:t>
      </w:r>
    </w:p>
    <w:p w:rsidR="00000000" w:rsidDel="00000000" w:rsidP="00000000" w:rsidRDefault="00000000" w:rsidRPr="00000000" w14:paraId="000000B4">
      <w:pPr>
        <w:ind w:left="284" w:firstLine="0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§22 ust 3. pkt 9) otrzymuje brzmienie: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„9) celem refundacji poniesionych: kosztów leczenia, kosztów leczenia po ekspozycji, kosztów rehabilitacji, kosztów leczenia stomatologicznego, kosztów porady psychologa, psychiatry, kosztów korepetycji - okazać Ubezpieczycielowi oryginały imiennych rachunków lub faktur VAT oraz dowody ich zapłaty, a także dokumentację medyczną z odbytych wizyt, zabiegów, pobytu w szpitalu, operacji. Dodatkowo celem refundacji poniesionych kosztów rehabilitacji – okazać dokumentację lekarską zawierającą skierowanie na zabiegi rehabilitacyjne, celem refundacji poniesionych kosztów poszukiwania dziecka o których mowa 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 ust 16 – okazać Ubezpieczycielowi oryginały imiennych rachunków lub faktur VAT oraz dowody ich zapłaty, a także kopie zgłoszenia Policji zaginięcia dziecka;”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Załącznik nr 1 do Ogólnych Warunków Ubezpieczenia EDU PLUS, zmianie ulegają pkt-y: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„XI. USZKODZENIA MIEDNICY;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ZŁAMANIE MIEDNICY – uszczerbek na zdrowiu; 20%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XII. USZKODZENIA KOŃCZYNY GÓRNEJ: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11. ZWICHNIĘCIA, SKRĘCENIA W STAWIE ŁOKCIOWYM: uszczerbek na zdrowiu: Strona Prawa 3%; Strona Lewa 2%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13. ZŁAMANIE, SKRĘCENIE NADGARSTKA: uszczerbek na zdrowiu: Strona Prawa 2%; Strona Lewa 1%”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Załącznik nr 1 do Ogólnych Warunków Ubezpieczenia EDU PLUS, dodaje się pkt-y: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„II. USZKODZENIA TWARZY;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12. RANA WYMAGAJĄCA SZYCIA WEWNĄTRZ JAMY USTNEJ – uszczerbek na zdrowiu; 2%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X. USZKODZENIA KRĘGOSŁUPA I RDZENIA KRĘGOWEGO;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 ZŁAMANIE KOŚCI OGONOWEJ – uszczerbek na zdrowiu; 2%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XIII. USZKODZENIA KOŃCZYNY DOLNEJ;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B.4. USZKODZENIA TKANEK MIĘKKICH KOLANA WYMAGAJĄCE SZYCIA – uszczerbek na zdrowiu; 1%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D.9. USZKODZENIA TKANEK MIĘKKICH STOPY LUB STAWU SKOKOWEGO WYMAGAJACE SZYCIA – uszczerbek na zdrowiu; 1%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XV. WSTRZĄŚNIENIE MÓZGU;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LICZBA DNI POBYTU W SZPITALU OD 4-5 DNI – uszczerbek na zdrowiu; 2%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 LICZBA DNI POBYTU W SZPITALU OD 6-10 DNI – uszczerbek na zdrowiu; 4%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 LICZBA DNI POBYTU W SZPITALU POWYŻEJ 10 DNI – uszczerbek na zdrowiu; 6%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XVI. SKRĘCENIA I ZWICHNIĘCIA STAWU KOLANOWEGO;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SKRĘCENIA I ZWICHNIĘCIA STAWU KOLANOWEGO – uszczerbek na zdrowiu; 1,5%”.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284" w:hanging="284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418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Roman"/>
      <w:lvlText w:val="%1."/>
      <w:lvlJc w:val="righ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1776" w:hanging="360"/>
      </w:pPr>
      <w:rPr/>
    </w:lvl>
    <w:lvl w:ilvl="1">
      <w:start w:val="1"/>
      <w:numFmt w:val="lowerRoman"/>
      <w:lvlText w:val="%2."/>
      <w:lvlJc w:val="left"/>
      <w:pPr>
        <w:ind w:left="2856" w:hanging="720"/>
      </w:pPr>
      <w:rPr/>
    </w:lvl>
    <w:lvl w:ilvl="2">
      <w:start w:val="1"/>
      <w:numFmt w:val="lowerRoman"/>
      <w:lvlText w:val="%3."/>
      <w:lvlJc w:val="right"/>
      <w:pPr>
        <w:ind w:left="3216" w:hanging="180"/>
      </w:pPr>
      <w:rPr/>
    </w:lvl>
    <w:lvl w:ilvl="3">
      <w:start w:val="1"/>
      <w:numFmt w:val="decimal"/>
      <w:lvlText w:val="%4."/>
      <w:lvlJc w:val="left"/>
      <w:pPr>
        <w:ind w:left="3936" w:hanging="360"/>
      </w:pPr>
      <w:rPr/>
    </w:lvl>
    <w:lvl w:ilvl="4">
      <w:start w:val="1"/>
      <w:numFmt w:val="lowerLetter"/>
      <w:lvlText w:val="%5."/>
      <w:lvlJc w:val="left"/>
      <w:pPr>
        <w:ind w:left="4656" w:hanging="360"/>
      </w:pPr>
      <w:rPr/>
    </w:lvl>
    <w:lvl w:ilvl="5">
      <w:start w:val="1"/>
      <w:numFmt w:val="lowerRoman"/>
      <w:lvlText w:val="%6."/>
      <w:lvlJc w:val="right"/>
      <w:pPr>
        <w:ind w:left="5376" w:hanging="180"/>
      </w:pPr>
      <w:rPr/>
    </w:lvl>
    <w:lvl w:ilvl="6">
      <w:start w:val="1"/>
      <w:numFmt w:val="decimal"/>
      <w:lvlText w:val="%7."/>
      <w:lvlJc w:val="left"/>
      <w:pPr>
        <w:ind w:left="6096" w:hanging="360"/>
      </w:pPr>
      <w:rPr/>
    </w:lvl>
    <w:lvl w:ilvl="7">
      <w:start w:val="1"/>
      <w:numFmt w:val="lowerLetter"/>
      <w:lvlText w:val="%8."/>
      <w:lvlJc w:val="left"/>
      <w:pPr>
        <w:ind w:left="6816" w:hanging="360"/>
      </w:pPr>
      <w:rPr/>
    </w:lvl>
    <w:lvl w:ilvl="8">
      <w:start w:val="1"/>
      <w:numFmt w:val="lowerRoman"/>
      <w:lvlText w:val="%9."/>
      <w:lvlJc w:val="right"/>
      <w:pPr>
        <w:ind w:left="7536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0">
    <w:lvl w:ilvl="0">
      <w:start w:val="1"/>
      <w:numFmt w:val="lowerRoman"/>
      <w:lvlText w:val="%1."/>
      <w:lvlJc w:val="right"/>
      <w:pPr>
        <w:ind w:left="1996" w:hanging="360"/>
      </w:pPr>
      <w:rPr/>
    </w:lvl>
    <w:lvl w:ilvl="1">
      <w:start w:val="1"/>
      <w:numFmt w:val="lowerRoman"/>
      <w:lvlText w:val="%2."/>
      <w:lvlJc w:val="right"/>
      <w:pPr>
        <w:ind w:left="2716" w:hanging="360"/>
      </w:pPr>
      <w:rPr/>
    </w:lvl>
    <w:lvl w:ilvl="2">
      <w:start w:val="1"/>
      <w:numFmt w:val="lowerLetter"/>
      <w:lvlText w:val="%3)"/>
      <w:lvlJc w:val="left"/>
      <w:pPr>
        <w:ind w:left="3616" w:hanging="360"/>
      </w:pPr>
      <w:rPr/>
    </w:lvl>
    <w:lvl w:ilvl="3">
      <w:start w:val="1"/>
      <w:numFmt w:val="decimal"/>
      <w:lvlText w:val="%4."/>
      <w:lvlJc w:val="left"/>
      <w:pPr>
        <w:ind w:left="4156" w:hanging="360"/>
      </w:pPr>
      <w:rPr/>
    </w:lvl>
    <w:lvl w:ilvl="4">
      <w:start w:val="1"/>
      <w:numFmt w:val="lowerLetter"/>
      <w:lvlText w:val="%5."/>
      <w:lvlJc w:val="left"/>
      <w:pPr>
        <w:ind w:left="4876" w:hanging="360"/>
      </w:pPr>
      <w:rPr/>
    </w:lvl>
    <w:lvl w:ilvl="5">
      <w:start w:val="1"/>
      <w:numFmt w:val="lowerRoman"/>
      <w:lvlText w:val="%6."/>
      <w:lvlJc w:val="right"/>
      <w:pPr>
        <w:ind w:left="5596" w:hanging="180"/>
      </w:pPr>
      <w:rPr/>
    </w:lvl>
    <w:lvl w:ilvl="6">
      <w:start w:val="1"/>
      <w:numFmt w:val="decimal"/>
      <w:lvlText w:val="%7."/>
      <w:lvlJc w:val="left"/>
      <w:pPr>
        <w:ind w:left="6316" w:hanging="360"/>
      </w:pPr>
      <w:rPr/>
    </w:lvl>
    <w:lvl w:ilvl="7">
      <w:start w:val="1"/>
      <w:numFmt w:val="lowerLetter"/>
      <w:lvlText w:val="%8."/>
      <w:lvlJc w:val="left"/>
      <w:pPr>
        <w:ind w:left="7036" w:hanging="360"/>
      </w:pPr>
      <w:rPr/>
    </w:lvl>
    <w:lvl w:ilvl="8">
      <w:start w:val="1"/>
      <w:numFmt w:val="lowerRoman"/>
      <w:lvlText w:val="%9."/>
      <w:lvlJc w:val="right"/>
      <w:pPr>
        <w:ind w:left="7756" w:hanging="180"/>
      </w:pPr>
      <w:rPr/>
    </w:lvl>
  </w:abstractNum>
  <w:abstractNum w:abstractNumId="11">
    <w:lvl w:ilvl="0">
      <w:start w:val="1"/>
      <w:numFmt w:val="lowerRoman"/>
      <w:lvlText w:val="%1."/>
      <w:lvlJc w:val="right"/>
      <w:pPr>
        <w:ind w:left="1854" w:hanging="360"/>
      </w:pPr>
      <w:rPr/>
    </w:lvl>
    <w:lvl w:ilvl="1">
      <w:start w:val="1"/>
      <w:numFmt w:val="lowerLetter"/>
      <w:lvlText w:val="%2."/>
      <w:lvlJc w:val="left"/>
      <w:pPr>
        <w:ind w:left="2574" w:hanging="360"/>
      </w:pPr>
      <w:rPr/>
    </w:lvl>
    <w:lvl w:ilvl="2">
      <w:start w:val="1"/>
      <w:numFmt w:val="lowerRoman"/>
      <w:lvlText w:val="%3."/>
      <w:lvlJc w:val="right"/>
      <w:pPr>
        <w:ind w:left="3294" w:hanging="180"/>
      </w:pPr>
      <w:rPr/>
    </w:lvl>
    <w:lvl w:ilvl="3">
      <w:start w:val="1"/>
      <w:numFmt w:val="decimal"/>
      <w:lvlText w:val="%4."/>
      <w:lvlJc w:val="left"/>
      <w:pPr>
        <w:ind w:left="4014" w:hanging="360"/>
      </w:pPr>
      <w:rPr/>
    </w:lvl>
    <w:lvl w:ilvl="4">
      <w:start w:val="1"/>
      <w:numFmt w:val="lowerLetter"/>
      <w:lvlText w:val="%5."/>
      <w:lvlJc w:val="left"/>
      <w:pPr>
        <w:ind w:left="4734" w:hanging="360"/>
      </w:pPr>
      <w:rPr/>
    </w:lvl>
    <w:lvl w:ilvl="5">
      <w:start w:val="1"/>
      <w:numFmt w:val="lowerRoman"/>
      <w:lvlText w:val="%6."/>
      <w:lvlJc w:val="right"/>
      <w:pPr>
        <w:ind w:left="5454" w:hanging="180"/>
      </w:pPr>
      <w:rPr/>
    </w:lvl>
    <w:lvl w:ilvl="6">
      <w:start w:val="1"/>
      <w:numFmt w:val="decimal"/>
      <w:lvlText w:val="%7."/>
      <w:lvlJc w:val="left"/>
      <w:pPr>
        <w:ind w:left="6174" w:hanging="360"/>
      </w:pPr>
      <w:rPr/>
    </w:lvl>
    <w:lvl w:ilvl="7">
      <w:start w:val="1"/>
      <w:numFmt w:val="lowerLetter"/>
      <w:lvlText w:val="%8."/>
      <w:lvlJc w:val="left"/>
      <w:pPr>
        <w:ind w:left="6894" w:hanging="360"/>
      </w:pPr>
      <w:rPr/>
    </w:lvl>
    <w:lvl w:ilvl="8">
      <w:start w:val="1"/>
      <w:numFmt w:val="lowerRoman"/>
      <w:lvlText w:val="%9."/>
      <w:lvlJc w:val="right"/>
      <w:pPr>
        <w:ind w:left="7614" w:hanging="18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lowerRoman"/>
      <w:lvlText w:val="%1."/>
      <w:lvlJc w:val="right"/>
      <w:pPr>
        <w:ind w:left="1854" w:hanging="360"/>
      </w:pPr>
      <w:rPr/>
    </w:lvl>
    <w:lvl w:ilvl="1">
      <w:start w:val="1"/>
      <w:numFmt w:val="lowerLetter"/>
      <w:lvlText w:val="%2."/>
      <w:lvlJc w:val="left"/>
      <w:pPr>
        <w:ind w:left="2574" w:hanging="360"/>
      </w:pPr>
      <w:rPr/>
    </w:lvl>
    <w:lvl w:ilvl="2">
      <w:start w:val="1"/>
      <w:numFmt w:val="lowerRoman"/>
      <w:lvlText w:val="%3."/>
      <w:lvlJc w:val="right"/>
      <w:pPr>
        <w:ind w:left="3294" w:hanging="180"/>
      </w:pPr>
      <w:rPr/>
    </w:lvl>
    <w:lvl w:ilvl="3">
      <w:start w:val="1"/>
      <w:numFmt w:val="decimal"/>
      <w:lvlText w:val="%4."/>
      <w:lvlJc w:val="left"/>
      <w:pPr>
        <w:ind w:left="4014" w:hanging="360"/>
      </w:pPr>
      <w:rPr/>
    </w:lvl>
    <w:lvl w:ilvl="4">
      <w:start w:val="1"/>
      <w:numFmt w:val="lowerLetter"/>
      <w:lvlText w:val="%5."/>
      <w:lvlJc w:val="left"/>
      <w:pPr>
        <w:ind w:left="4734" w:hanging="360"/>
      </w:pPr>
      <w:rPr/>
    </w:lvl>
    <w:lvl w:ilvl="5">
      <w:start w:val="1"/>
      <w:numFmt w:val="lowerRoman"/>
      <w:lvlText w:val="%6."/>
      <w:lvlJc w:val="right"/>
      <w:pPr>
        <w:ind w:left="5454" w:hanging="180"/>
      </w:pPr>
      <w:rPr/>
    </w:lvl>
    <w:lvl w:ilvl="6">
      <w:start w:val="1"/>
      <w:numFmt w:val="decimal"/>
      <w:lvlText w:val="%7."/>
      <w:lvlJc w:val="left"/>
      <w:pPr>
        <w:ind w:left="6174" w:hanging="360"/>
      </w:pPr>
      <w:rPr/>
    </w:lvl>
    <w:lvl w:ilvl="7">
      <w:start w:val="1"/>
      <w:numFmt w:val="lowerLetter"/>
      <w:lvlText w:val="%8."/>
      <w:lvlJc w:val="left"/>
      <w:pPr>
        <w:ind w:left="6894" w:hanging="360"/>
      </w:pPr>
      <w:rPr/>
    </w:lvl>
    <w:lvl w:ilvl="8">
      <w:start w:val="1"/>
      <w:numFmt w:val="lowerRoman"/>
      <w:lvlText w:val="%9."/>
      <w:lvlJc w:val="right"/>
      <w:pPr>
        <w:ind w:left="7614" w:hanging="180"/>
      </w:pPr>
      <w:rPr/>
    </w:lvl>
  </w:abstractNum>
  <w:abstractNum w:abstractNumId="15">
    <w:lvl w:ilvl="0">
      <w:start w:val="12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